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HASWANI BINTI A.HASSIM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PENYEDIAAN MAKANAN </w:t>
      </w:r>
      <w:r>
        <w:rPr>
          <w:rFonts w:ascii="Arial" w:hAnsi="Arial"/>
          <w:b/>
          <w:bCs/>
          <w:sz w:val="24"/>
          <w:szCs w:val="24"/>
          <w:lang w:val="en-US"/>
        </w:rPr>
        <w:t>DAN SEJUKBEKU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HASWANI BINTI A.HASSIM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850416-02-6038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  <w:lang w:val="en-US"/>
        </w:rPr>
        <w:t>O 22B,KAMPUNG KUALA KENERING,33410 LENGGONG PERAK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ABC Catering &amp; Services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Makanan</w:t>
            </w:r>
            <w:r>
              <w:rPr>
                <w:rFonts w:ascii="Arial" w:hAnsi="Arial"/>
              </w:rPr>
              <w:t xml:space="preserve"> &amp;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bookmarkEnd w:id="1"/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15, Jalan Seri </w:t>
            </w:r>
            <w:r>
              <w:rPr>
                <w:rFonts w:ascii="Arial" w:hAnsi="Arial"/>
              </w:rPr>
              <w:t>Maju</w:t>
            </w:r>
            <w:r>
              <w:rPr>
                <w:rFonts w:ascii="Arial" w:hAnsi="Arial"/>
              </w:rPr>
              <w:t xml:space="preserve"> 3, 43000 </w:t>
            </w:r>
            <w:r>
              <w:rPr>
                <w:rFonts w:ascii="Arial" w:hAnsi="Arial"/>
              </w:rPr>
              <w:t>Kajang</w:t>
            </w:r>
            <w:r>
              <w:rPr>
                <w:rFonts w:ascii="Arial" w:hAnsi="Arial"/>
              </w:rPr>
              <w:t>, Selangor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202601012345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Ali Bin Abu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ABC</w:t>
      </w:r>
      <w:r>
        <w:rPr>
          <w:rFonts w:ascii="Arial" w:cs="Arial" w:hAnsi="Arial"/>
          <w:sz w:val="22"/>
          <w:szCs w:val="22"/>
        </w:rPr>
        <w:t xml:space="preserve"> Catering &amp; Services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kenduri</w:t>
      </w:r>
      <w:r>
        <w:rPr>
          <w:rFonts w:ascii="Arial" w:cs="Arial" w:hAnsi="Arial"/>
          <w:sz w:val="22"/>
          <w:szCs w:val="22"/>
        </w:rPr>
        <w:t xml:space="preserve">, majlis </w:t>
      </w:r>
      <w:r>
        <w:rPr>
          <w:rFonts w:ascii="Arial" w:cs="Arial" w:hAnsi="Arial"/>
          <w:sz w:val="22"/>
          <w:szCs w:val="22"/>
        </w:rPr>
        <w:t>doa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selamat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mesyuarat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tempahan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harian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Melayu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tradisional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RM12 – RM15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RM13 – RM18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</w:rPr>
              <w:t>hidangan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keluarg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RM40 – RM80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Nasi </w:t>
            </w:r>
            <w:r>
              <w:rPr>
                <w:rFonts w:ascii="Arial" w:hAnsi="Arial"/>
              </w:rPr>
              <w:t>berlauk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RM8 – RM10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Melayu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tradisional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Premis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Sewaan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Mengikut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</w:rPr>
        <w:t>dua</w:t>
      </w:r>
      <w:r>
        <w:rPr>
          <w:rFonts w:ascii="Arial" w:hAnsi="Arial"/>
        </w:rPr>
        <w:t xml:space="preserve"> 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ABC </w:t>
      </w:r>
      <w:r>
        <w:rPr>
          <w:rFonts w:ascii="Arial" w:hAnsi="Arial"/>
        </w:rPr>
        <w:t xml:space="preserve">Catering &amp; Services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2cd2f08-a171-470e-873a-5683994e44f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a0e360f-38cb-4eb1-b260-c054d448b9c9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5065265-df92-4d8c-b434-6a353cfc2fba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f0aa368-1e4c-4637-880e-8897b7385619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b3963c3b-f190-4ebf-be79-30b0a0b79052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a916a7f-838e-4efb-b6f9-56f866ebd987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1b31ea71-f1f5-4324-8eee-44272b689244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57b2b24-5a4e-46cd-938a-cc718c179ae0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81110252-a573-4124-a78b-41d5ff6196f9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b500a7b3-31db-468a-8f72-cb24561e8a78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8fa9e777-76fb-465a-a56b-5d0b5abed7bb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c721c0c1-3980-4ab5-86b6-807ac1ab25f3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485b2784-b819-4679-a4fb-55adf66b12a7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673f1ac4-58ae-429f-a67d-fb878164014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Words>487</Words>
  <Pages>4</Pages>
  <Characters>3122</Characters>
  <Application>WPS Office</Application>
  <DocSecurity>0</DocSecurity>
  <Paragraphs>145</Paragraphs>
  <ScaleCrop>false</ScaleCrop>
  <LinksUpToDate>false</LinksUpToDate>
  <CharactersWithSpaces>3538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ZTE 7160N</lastModifiedBy>
  <dcterms:modified xsi:type="dcterms:W3CDTF">2026-02-25T23:53:42Z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99a29d0798d2484fbf30f4e7c7a9b11e</vt:lpwstr>
  </property>
</Properties>
</file>